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1D06ECB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B15A36E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>provide for young children. They are involved in all aspects of their child’s care</w:t>
      </w:r>
      <w:r w:rsidRPr="00FA6793">
        <w:rPr>
          <w:rFonts w:ascii="Arial" w:hAnsi="Arial" w:cs="Arial"/>
          <w:sz w:val="22"/>
          <w:szCs w:val="22"/>
        </w:rPr>
        <w:t xml:space="preserve">, </w:t>
      </w:r>
      <w:r w:rsidR="00173C00" w:rsidRPr="00FA6793">
        <w:rPr>
          <w:rFonts w:ascii="Arial" w:hAnsi="Arial" w:cs="Arial"/>
          <w:sz w:val="22"/>
          <w:szCs w:val="22"/>
        </w:rPr>
        <w:t>their views are actively sought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3A52A5F6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24B1AC2B" w:rsidR="00BF7790" w:rsidRPr="007831E5" w:rsidRDefault="007A5479" w:rsidP="001C7810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 xml:space="preserve">; </w:t>
      </w:r>
      <w:r w:rsidR="001C7810">
        <w:rPr>
          <w:rFonts w:ascii="Arial" w:hAnsi="Arial" w:cs="Arial"/>
          <w:sz w:val="22"/>
          <w:szCs w:val="22"/>
        </w:rPr>
        <w:t>they are greeted appropriately.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4F26A0B9" w:rsidR="007A5479" w:rsidRPr="007831E5" w:rsidRDefault="007A5479" w:rsidP="001C7810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</w:t>
      </w:r>
      <w:bookmarkStart w:id="0" w:name="_GoBack"/>
      <w:bookmarkEnd w:id="0"/>
      <w:r w:rsidRPr="007831E5">
        <w:rPr>
          <w:rFonts w:ascii="Arial" w:hAnsi="Arial" w:cs="Arial"/>
          <w:sz w:val="22"/>
          <w:szCs w:val="22"/>
        </w:rPr>
        <w:t xml:space="preserve">meet with parents to discuss their child’s </w:t>
      </w:r>
      <w:r w:rsidR="00020B9A" w:rsidRPr="00201952">
        <w:rPr>
          <w:rFonts w:ascii="Arial" w:hAnsi="Arial" w:cs="Arial"/>
          <w:sz w:val="22"/>
          <w:szCs w:val="22"/>
        </w:rPr>
        <w:t>learning and development</w:t>
      </w:r>
      <w:r w:rsidRPr="00201952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</w:p>
    <w:p w14:paraId="26AAC742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C92D9DF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4EA1A066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 xml:space="preserve">procedure </w:t>
      </w:r>
      <w:r w:rsidR="00E700A9" w:rsidRPr="00CE5B0B">
        <w:rPr>
          <w:rFonts w:ascii="Arial" w:hAnsi="Arial" w:cs="Arial"/>
          <w:sz w:val="22"/>
          <w:szCs w:val="22"/>
        </w:rPr>
        <w:t>0</w:t>
      </w:r>
      <w:r w:rsidR="00B65DD2" w:rsidRPr="00CE5B0B">
        <w:rPr>
          <w:rFonts w:ascii="Arial" w:hAnsi="Arial" w:cs="Arial"/>
          <w:sz w:val="22"/>
          <w:szCs w:val="22"/>
        </w:rPr>
        <w:t>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5BAE7AE0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outing and take photographs for the purposes of record keeping.</w:t>
      </w:r>
    </w:p>
    <w:p w14:paraId="68B3F7E9" w14:textId="77777777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5E13D9BE" w14:textId="553223BB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="00AC3C65" w:rsidRPr="007831E5">
        <w:rPr>
          <w:rFonts w:ascii="Arial" w:hAnsi="Arial" w:cs="Arial"/>
          <w:sz w:val="22"/>
          <w:szCs w:val="22"/>
        </w:rPr>
        <w:t>aking processes via a parent forum</w:t>
      </w:r>
      <w:r w:rsidR="004E22E4">
        <w:rPr>
          <w:rFonts w:ascii="Arial" w:hAnsi="Arial" w:cs="Arial"/>
          <w:sz w:val="22"/>
          <w:szCs w:val="22"/>
        </w:rPr>
        <w:t>.</w:t>
      </w:r>
    </w:p>
    <w:p w14:paraId="4C41BF7E" w14:textId="7F9192A6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helping out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2CE217A4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>09.14 Prime times – transition to schoo</w:t>
      </w:r>
      <w:r w:rsidR="00BD03E4">
        <w:rPr>
          <w:rFonts w:ascii="Arial" w:hAnsi="Arial" w:cs="Arial"/>
          <w:sz w:val="22"/>
          <w:szCs w:val="22"/>
        </w:rPr>
        <w:t>l</w:t>
      </w:r>
      <w:r w:rsidR="00644819">
        <w:rPr>
          <w:rFonts w:ascii="Arial" w:hAnsi="Arial" w:cs="Arial"/>
          <w:sz w:val="22"/>
          <w:szCs w:val="22"/>
        </w:rPr>
        <w:t>,</w:t>
      </w:r>
      <w:r w:rsidR="00BD03E4">
        <w:rPr>
          <w:rFonts w:ascii="Arial" w:hAnsi="Arial" w:cs="Arial"/>
          <w:sz w:val="22"/>
          <w:szCs w:val="22"/>
        </w:rPr>
        <w:t xml:space="preserve"> </w:t>
      </w:r>
      <w:r w:rsidR="002C169F" w:rsidRPr="00A608F0">
        <w:rPr>
          <w:rFonts w:ascii="Arial" w:hAnsi="Arial" w:cs="Arial"/>
          <w:sz w:val="22"/>
          <w:szCs w:val="22"/>
        </w:rPr>
        <w:t xml:space="preserve">and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201952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lastRenderedPageBreak/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p w14:paraId="7EDB82C8" w14:textId="77777777" w:rsidR="00A7505A" w:rsidRPr="00201952" w:rsidRDefault="00A7505A" w:rsidP="00201952"/>
    <w:p w14:paraId="02460FBD" w14:textId="77777777" w:rsidR="00A7505A" w:rsidRPr="00201952" w:rsidRDefault="00A7505A" w:rsidP="00201952"/>
    <w:p w14:paraId="4311A3F7" w14:textId="77777777" w:rsidR="00A7505A" w:rsidRPr="00201952" w:rsidRDefault="00A7505A" w:rsidP="00201952"/>
    <w:p w14:paraId="3093DBD0" w14:textId="77777777" w:rsidR="00A7505A" w:rsidRPr="00201952" w:rsidRDefault="00A7505A" w:rsidP="00201952"/>
    <w:p w14:paraId="3292DCA1" w14:textId="77777777" w:rsidR="00A7505A" w:rsidRPr="00201952" w:rsidRDefault="00A7505A" w:rsidP="00201952"/>
    <w:p w14:paraId="37B894B6" w14:textId="77777777" w:rsidR="00A7505A" w:rsidRPr="00201952" w:rsidRDefault="00A7505A" w:rsidP="00201952"/>
    <w:p w14:paraId="5AC36B63" w14:textId="77777777" w:rsidR="00A7505A" w:rsidRPr="00201952" w:rsidRDefault="00A7505A" w:rsidP="00201952"/>
    <w:p w14:paraId="705732D9" w14:textId="77777777" w:rsidR="00A7505A" w:rsidRPr="00201952" w:rsidRDefault="00A7505A" w:rsidP="00201952"/>
    <w:p w14:paraId="1CC19485" w14:textId="77777777" w:rsidR="00A7505A" w:rsidRPr="00201952" w:rsidRDefault="00A7505A" w:rsidP="00201952"/>
    <w:p w14:paraId="3D209563" w14:textId="77777777" w:rsidR="00A7505A" w:rsidRPr="00201952" w:rsidRDefault="00A7505A" w:rsidP="00201952"/>
    <w:p w14:paraId="4593F9FC" w14:textId="77777777" w:rsidR="00A7505A" w:rsidRPr="00201952" w:rsidRDefault="00A7505A" w:rsidP="00201952"/>
    <w:p w14:paraId="27AD87AE" w14:textId="77777777" w:rsidR="00A7505A" w:rsidRPr="00201952" w:rsidRDefault="00A7505A" w:rsidP="00201952"/>
    <w:p w14:paraId="3AAA0F26" w14:textId="77777777" w:rsidR="00A7505A" w:rsidRPr="00201952" w:rsidRDefault="00A7505A" w:rsidP="00201952"/>
    <w:p w14:paraId="7C9BCE73" w14:textId="77777777" w:rsidR="00A7505A" w:rsidRPr="00201952" w:rsidRDefault="00A7505A" w:rsidP="00201952"/>
    <w:p w14:paraId="01073FC3" w14:textId="77777777" w:rsidR="00A7505A" w:rsidRPr="00201952" w:rsidRDefault="00A7505A" w:rsidP="00201952"/>
    <w:p w14:paraId="587E79C7" w14:textId="77777777" w:rsidR="00A7505A" w:rsidRPr="00201952" w:rsidRDefault="00A7505A" w:rsidP="00201952"/>
    <w:p w14:paraId="701E4E22" w14:textId="77777777" w:rsidR="00A7505A" w:rsidRPr="00201952" w:rsidRDefault="00A7505A" w:rsidP="00201952"/>
    <w:p w14:paraId="390DB643" w14:textId="77777777" w:rsidR="00A7505A" w:rsidRPr="00201952" w:rsidRDefault="00A7505A" w:rsidP="00201952"/>
    <w:p w14:paraId="0DA08D69" w14:textId="77777777" w:rsidR="00A7505A" w:rsidRPr="00201952" w:rsidRDefault="00A7505A" w:rsidP="00201952"/>
    <w:p w14:paraId="1E146B2A" w14:textId="77777777" w:rsidR="00A7505A" w:rsidRPr="00201952" w:rsidRDefault="00A7505A" w:rsidP="00201952"/>
    <w:p w14:paraId="4BC9C470" w14:textId="77777777" w:rsidR="00A7505A" w:rsidRPr="00201952" w:rsidRDefault="00A7505A" w:rsidP="00201952"/>
    <w:p w14:paraId="0FD3166A" w14:textId="77777777" w:rsidR="00A7505A" w:rsidRPr="00201952" w:rsidRDefault="00A7505A" w:rsidP="00201952"/>
    <w:p w14:paraId="61621412" w14:textId="77777777" w:rsidR="00A7505A" w:rsidRPr="00201952" w:rsidRDefault="00A7505A" w:rsidP="00201952"/>
    <w:p w14:paraId="0A93BC4D" w14:textId="77777777" w:rsidR="00A7505A" w:rsidRPr="00201952" w:rsidRDefault="00A7505A" w:rsidP="00201952"/>
    <w:p w14:paraId="2EE77C69" w14:textId="77777777" w:rsidR="00A7505A" w:rsidRPr="00201952" w:rsidRDefault="00A7505A" w:rsidP="00201952"/>
    <w:p w14:paraId="6CBDA33B" w14:textId="77777777" w:rsidR="00A7505A" w:rsidRPr="00201952" w:rsidRDefault="00A7505A" w:rsidP="00201952"/>
    <w:p w14:paraId="2D829437" w14:textId="77777777" w:rsidR="00A7505A" w:rsidRPr="00201952" w:rsidRDefault="00A7505A" w:rsidP="00201952"/>
    <w:p w14:paraId="1E91A0ED" w14:textId="77777777" w:rsidR="00A7505A" w:rsidRPr="00201952" w:rsidRDefault="00A7505A" w:rsidP="00201952"/>
    <w:p w14:paraId="0852C80D" w14:textId="77777777" w:rsidR="00A7505A" w:rsidRPr="00201952" w:rsidRDefault="00A7505A" w:rsidP="00201952"/>
    <w:p w14:paraId="7AAEEC53" w14:textId="77777777" w:rsidR="00A7505A" w:rsidRPr="00201952" w:rsidRDefault="00A7505A" w:rsidP="00201952"/>
    <w:p w14:paraId="461B2A57" w14:textId="77777777" w:rsidR="00A7505A" w:rsidRPr="00201952" w:rsidRDefault="00A7505A" w:rsidP="00201952"/>
    <w:p w14:paraId="39654568" w14:textId="77777777" w:rsidR="00A7505A" w:rsidRPr="00201952" w:rsidRDefault="00A7505A" w:rsidP="00201952"/>
    <w:p w14:paraId="7CB4C1F0" w14:textId="77777777" w:rsidR="00A7505A" w:rsidRPr="00201952" w:rsidRDefault="00A7505A" w:rsidP="00201952"/>
    <w:p w14:paraId="1C7C4C21" w14:textId="77777777" w:rsidR="00A7505A" w:rsidRPr="00201952" w:rsidRDefault="00A7505A" w:rsidP="00201952"/>
    <w:p w14:paraId="660994C5" w14:textId="77777777" w:rsidR="00A7505A" w:rsidRPr="00201952" w:rsidRDefault="00A7505A" w:rsidP="00201952"/>
    <w:p w14:paraId="61CE22A5" w14:textId="77777777" w:rsidR="00A7505A" w:rsidRPr="00201952" w:rsidRDefault="00A7505A" w:rsidP="00201952"/>
    <w:p w14:paraId="68B78839" w14:textId="77777777" w:rsidR="00A7505A" w:rsidRPr="00201952" w:rsidRDefault="00A7505A" w:rsidP="00201952"/>
    <w:p w14:paraId="53684D2B" w14:textId="77777777" w:rsidR="00A7505A" w:rsidRPr="00201952" w:rsidRDefault="00A7505A" w:rsidP="00201952"/>
    <w:p w14:paraId="42EB6768" w14:textId="77777777" w:rsidR="00A7505A" w:rsidRPr="00201952" w:rsidRDefault="00A7505A" w:rsidP="00201952"/>
    <w:p w14:paraId="58EF18AB" w14:textId="77777777" w:rsidR="00A7505A" w:rsidRPr="00201952" w:rsidRDefault="00A7505A" w:rsidP="00201952"/>
    <w:p w14:paraId="72003498" w14:textId="77777777" w:rsidR="00A7505A" w:rsidRPr="00201952" w:rsidRDefault="00A7505A" w:rsidP="00201952"/>
    <w:p w14:paraId="36BDF366" w14:textId="77777777" w:rsidR="00A7505A" w:rsidRPr="00201952" w:rsidRDefault="00A7505A" w:rsidP="00201952"/>
    <w:p w14:paraId="25FB67FF" w14:textId="77777777" w:rsidR="00A7505A" w:rsidRPr="00201952" w:rsidRDefault="00A7505A" w:rsidP="00201952"/>
    <w:p w14:paraId="5247E4DF" w14:textId="77777777" w:rsidR="00A7505A" w:rsidRPr="00201952" w:rsidRDefault="00A7505A" w:rsidP="00201952"/>
    <w:p w14:paraId="2144E71B" w14:textId="77777777" w:rsidR="00A7505A" w:rsidRPr="00201952" w:rsidRDefault="00A7505A" w:rsidP="00201952"/>
    <w:p w14:paraId="43F1DB45" w14:textId="77777777" w:rsidR="00A7505A" w:rsidRPr="00201952" w:rsidRDefault="00A7505A" w:rsidP="00201952"/>
    <w:p w14:paraId="2DE314E4" w14:textId="77777777" w:rsidR="00A7505A" w:rsidRPr="00201952" w:rsidRDefault="00A7505A" w:rsidP="00201952"/>
    <w:p w14:paraId="0A3B8F56" w14:textId="77777777" w:rsidR="00A7505A" w:rsidRPr="00201952" w:rsidRDefault="00A7505A" w:rsidP="00201952"/>
    <w:p w14:paraId="74B48AFE" w14:textId="77777777" w:rsidR="00A7505A" w:rsidRPr="00201952" w:rsidRDefault="00A7505A" w:rsidP="00201952"/>
    <w:p w14:paraId="70979C1E" w14:textId="77777777" w:rsidR="00A7505A" w:rsidRDefault="00A7505A" w:rsidP="00A7505A">
      <w:pPr>
        <w:rPr>
          <w:rFonts w:ascii="Arial" w:hAnsi="Arial" w:cs="Arial"/>
          <w:sz w:val="22"/>
          <w:szCs w:val="22"/>
        </w:rPr>
      </w:pPr>
    </w:p>
    <w:p w14:paraId="4358AC29" w14:textId="77777777" w:rsidR="00A7505A" w:rsidRDefault="00A7505A" w:rsidP="00A7505A">
      <w:pPr>
        <w:rPr>
          <w:rFonts w:ascii="Arial" w:hAnsi="Arial" w:cs="Arial"/>
          <w:sz w:val="22"/>
          <w:szCs w:val="22"/>
        </w:rPr>
      </w:pPr>
    </w:p>
    <w:p w14:paraId="1B716FCB" w14:textId="69DA91B1" w:rsidR="00A7505A" w:rsidRPr="00A7505A" w:rsidRDefault="00A7505A" w:rsidP="00201952">
      <w:pPr>
        <w:tabs>
          <w:tab w:val="left" w:pos="3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2531062" w14:textId="77777777" w:rsidR="00A7505A" w:rsidRPr="00201952" w:rsidRDefault="00A7505A" w:rsidP="00A7505A"/>
    <w:p w14:paraId="6CBD99B9" w14:textId="77777777" w:rsidR="00A7505A" w:rsidRPr="00201952" w:rsidRDefault="00A7505A" w:rsidP="00201952"/>
    <w:sectPr w:rsidR="00A7505A" w:rsidRPr="00201952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576DB" w14:textId="77777777" w:rsidR="009062C1" w:rsidRDefault="009062C1" w:rsidP="00202701">
      <w:r>
        <w:separator/>
      </w:r>
    </w:p>
  </w:endnote>
  <w:endnote w:type="continuationSeparator" w:id="0">
    <w:p w14:paraId="6E508271" w14:textId="77777777" w:rsidR="009062C1" w:rsidRDefault="009062C1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CA78C" w14:textId="45C6B914" w:rsidR="000424C4" w:rsidRPr="00B30663" w:rsidRDefault="000424C4" w:rsidP="000424C4">
    <w:pPr>
      <w:pStyle w:val="Footer"/>
      <w:rPr>
        <w:rFonts w:ascii="Arial" w:hAnsi="Arial" w:cs="Arial"/>
        <w:sz w:val="20"/>
        <w:szCs w:val="20"/>
      </w:rPr>
    </w:pPr>
    <w:r w:rsidRPr="00B30663">
      <w:rPr>
        <w:rFonts w:ascii="Arial" w:hAnsi="Arial" w:cs="Arial"/>
        <w:i/>
        <w:iCs/>
        <w:sz w:val="20"/>
        <w:szCs w:val="20"/>
      </w:rPr>
      <w:t>Policies &amp; Procedures for the EYFS 202</w:t>
    </w:r>
    <w:r w:rsidR="00A7505A">
      <w:rPr>
        <w:rFonts w:ascii="Arial" w:hAnsi="Arial" w:cs="Arial"/>
        <w:i/>
        <w:iCs/>
        <w:sz w:val="20"/>
        <w:szCs w:val="20"/>
      </w:rPr>
      <w:t>3</w:t>
    </w:r>
    <w:r w:rsidRPr="00B30663">
      <w:rPr>
        <w:rFonts w:ascii="Arial" w:hAnsi="Arial" w:cs="Arial"/>
        <w:sz w:val="20"/>
        <w:szCs w:val="20"/>
      </w:rPr>
      <w:t xml:space="preserve"> (Early Years Alliance 202</w:t>
    </w:r>
    <w:r w:rsidR="00A7505A">
      <w:rPr>
        <w:rFonts w:ascii="Arial" w:hAnsi="Arial" w:cs="Arial"/>
        <w:sz w:val="20"/>
        <w:szCs w:val="20"/>
      </w:rPr>
      <w:t>3</w:t>
    </w:r>
    <w:r w:rsidRPr="00B3066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867A9" w14:textId="77777777" w:rsidR="009062C1" w:rsidRDefault="009062C1" w:rsidP="00202701">
      <w:r>
        <w:separator/>
      </w:r>
    </w:p>
  </w:footnote>
  <w:footnote w:type="continuationSeparator" w:id="0">
    <w:p w14:paraId="767C0786" w14:textId="77777777" w:rsidR="009062C1" w:rsidRDefault="009062C1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1C7810"/>
    <w:rsid w:val="00201952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C1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7505A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0663"/>
    <w:rsid w:val="00B361EA"/>
    <w:rsid w:val="00B65DD2"/>
    <w:rsid w:val="00B95282"/>
    <w:rsid w:val="00BA4979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BF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paragraph" w:styleId="Revision">
    <w:name w:val="Revision"/>
    <w:hidden/>
    <w:uiPriority w:val="99"/>
    <w:semiHidden/>
    <w:rsid w:val="00A7505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paragraph" w:styleId="Revision">
    <w:name w:val="Revision"/>
    <w:hidden/>
    <w:uiPriority w:val="99"/>
    <w:semiHidden/>
    <w:rsid w:val="00A7505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07E7-7A32-4E3A-849D-990F485F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C88AF2D5-FC06-40B9-970A-4949B5A5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2</cp:revision>
  <cp:lastPrinted>2023-12-05T13:58:00Z</cp:lastPrinted>
  <dcterms:created xsi:type="dcterms:W3CDTF">2023-12-05T13:58:00Z</dcterms:created>
  <dcterms:modified xsi:type="dcterms:W3CDTF">2023-12-05T13:58:00Z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