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3B086782" w:rsidR="00202AF4" w:rsidRPr="0049232B" w:rsidRDefault="00202AF4" w:rsidP="00520105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 xml:space="preserve">10.1-10.2 </w:t>
      </w:r>
      <w:proofErr w:type="gramStart"/>
      <w:r w:rsidR="009A68AA">
        <w:rPr>
          <w:b w:val="0"/>
          <w:sz w:val="22"/>
          <w:szCs w:val="22"/>
        </w:rPr>
        <w:t>Working</w:t>
      </w:r>
      <w:proofErr w:type="gramEnd"/>
      <w:r w:rsidR="009A68AA">
        <w:rPr>
          <w:b w:val="0"/>
          <w:sz w:val="22"/>
          <w:szCs w:val="22"/>
        </w:rPr>
        <w:t xml:space="preserve">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520105" w:rsidRPr="00520105">
        <w:rPr>
          <w:b w:val="0"/>
          <w:sz w:val="22"/>
          <w:szCs w:val="22"/>
        </w:rPr>
        <w:t>EAYC NURSERY</w:t>
      </w:r>
      <w:r w:rsidRPr="0049232B">
        <w:rPr>
          <w:b w:val="0"/>
          <w:sz w:val="22"/>
          <w:szCs w:val="22"/>
        </w:rPr>
        <w:t xml:space="preserve"> on </w:t>
      </w:r>
      <w:r w:rsidR="00520105">
        <w:rPr>
          <w:b w:val="0"/>
          <w:i/>
          <w:iCs/>
          <w:sz w:val="22"/>
          <w:szCs w:val="22"/>
        </w:rPr>
        <w:t>16.11.23</w:t>
      </w:r>
      <w:bookmarkStart w:id="0" w:name="_GoBack"/>
      <w:bookmarkEnd w:id="0"/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A09C" w14:textId="77777777" w:rsidR="00467C57" w:rsidRDefault="00467C57" w:rsidP="00E07382">
      <w:r>
        <w:separator/>
      </w:r>
    </w:p>
  </w:endnote>
  <w:endnote w:type="continuationSeparator" w:id="0">
    <w:p w14:paraId="7A61A916" w14:textId="77777777" w:rsidR="00467C57" w:rsidRDefault="00467C57" w:rsidP="00E07382">
      <w:r>
        <w:continuationSeparator/>
      </w:r>
    </w:p>
  </w:endnote>
  <w:endnote w:type="continuationNotice" w:id="1">
    <w:p w14:paraId="21BAC87F" w14:textId="77777777" w:rsidR="00467C57" w:rsidRDefault="00467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AD7B" w14:textId="460FB409" w:rsidR="00125204" w:rsidRPr="008665D6" w:rsidRDefault="00125204">
    <w:pPr>
      <w:pStyle w:val="Footer"/>
      <w:rPr>
        <w:rFonts w:ascii="Arial" w:hAnsi="Arial" w:cs="Arial"/>
        <w:sz w:val="20"/>
        <w:szCs w:val="20"/>
      </w:rPr>
    </w:pPr>
    <w:r w:rsidRPr="008665D6">
      <w:rPr>
        <w:rFonts w:ascii="Arial" w:hAnsi="Arial" w:cs="Arial"/>
        <w:i/>
        <w:iCs/>
        <w:sz w:val="20"/>
        <w:szCs w:val="20"/>
      </w:rPr>
      <w:t xml:space="preserve">Policies &amp; Procedures for the EYFS </w:t>
    </w:r>
    <w:r w:rsidR="00361934">
      <w:rPr>
        <w:rFonts w:ascii="Arial" w:hAnsi="Arial" w:cs="Arial"/>
        <w:i/>
        <w:iCs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B4558" w14:textId="77777777" w:rsidR="00467C57" w:rsidRDefault="00467C57" w:rsidP="00E07382">
      <w:r>
        <w:separator/>
      </w:r>
    </w:p>
  </w:footnote>
  <w:footnote w:type="continuationSeparator" w:id="0">
    <w:p w14:paraId="1D3F04AA" w14:textId="77777777" w:rsidR="00467C57" w:rsidRDefault="00467C57" w:rsidP="00E07382">
      <w:r>
        <w:continuationSeparator/>
      </w:r>
    </w:p>
  </w:footnote>
  <w:footnote w:type="continuationNotice" w:id="1">
    <w:p w14:paraId="1DA84E99" w14:textId="77777777" w:rsidR="00467C57" w:rsidRDefault="00467C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1934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67C57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0105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DE7997A9-53E5-473E-BFAC-E444B71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A2CFD-EC2D-4A03-8A30-7417E8A6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2023-12-05T13:56:00Z</cp:lastPrinted>
  <dcterms:created xsi:type="dcterms:W3CDTF">2023-12-05T13:56:00Z</dcterms:created>
  <dcterms:modified xsi:type="dcterms:W3CDTF">2023-12-05T13:56:00Z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